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963" w:rsidRDefault="00393963" w:rsidP="007447DA">
      <w:pPr>
        <w:spacing w:line="240" w:lineRule="auto"/>
        <w:ind w:firstLine="720"/>
        <w:jc w:val="both"/>
        <w:rPr>
          <w:rFonts w:ascii="Helvetica Neue" w:eastAsia="Times New Roman" w:hAnsi="Helvetica Neue" w:cs="Times New Roman"/>
          <w:color w:val="000000"/>
          <w:szCs w:val="24"/>
          <w:lang w:val="en-US"/>
        </w:rPr>
      </w:pPr>
    </w:p>
    <w:p w:rsidR="004F64CC" w:rsidRDefault="004F64CC" w:rsidP="007447DA">
      <w:pPr>
        <w:spacing w:line="240" w:lineRule="auto"/>
        <w:ind w:firstLine="720"/>
        <w:jc w:val="both"/>
        <w:rPr>
          <w:rFonts w:cs="Times New Roman"/>
          <w:szCs w:val="24"/>
        </w:rPr>
      </w:pPr>
    </w:p>
    <w:p w:rsidR="00891162" w:rsidRDefault="00891162" w:rsidP="007447DA">
      <w:pPr>
        <w:spacing w:line="240" w:lineRule="auto"/>
        <w:ind w:firstLine="720"/>
        <w:jc w:val="both"/>
        <w:rPr>
          <w:rFonts w:cs="Times New Roman"/>
          <w:szCs w:val="24"/>
        </w:rPr>
      </w:pPr>
    </w:p>
    <w:p w:rsidR="00891162" w:rsidRPr="00636B1F" w:rsidRDefault="00891162" w:rsidP="007447DA">
      <w:pPr>
        <w:spacing w:line="240" w:lineRule="auto"/>
        <w:ind w:firstLine="720"/>
        <w:jc w:val="both"/>
        <w:rPr>
          <w:rFonts w:cs="Times New Roman"/>
          <w:szCs w:val="24"/>
        </w:rPr>
      </w:pPr>
    </w:p>
    <w:p w:rsidR="00393963" w:rsidRPr="00636B1F" w:rsidRDefault="00393963" w:rsidP="007447DA">
      <w:pPr>
        <w:spacing w:line="240" w:lineRule="auto"/>
        <w:ind w:firstLine="720"/>
        <w:jc w:val="both"/>
        <w:rPr>
          <w:rFonts w:cs="Times New Roman"/>
          <w:szCs w:val="24"/>
        </w:rPr>
      </w:pPr>
    </w:p>
    <w:p w:rsidR="00296755" w:rsidRDefault="00296755" w:rsidP="007447DA">
      <w:pPr>
        <w:spacing w:line="240" w:lineRule="auto"/>
        <w:ind w:firstLine="720"/>
        <w:jc w:val="center"/>
        <w:rPr>
          <w:rFonts w:cs="Times New Roman"/>
          <w:szCs w:val="24"/>
        </w:rPr>
      </w:pPr>
      <w:r w:rsidRPr="00296755">
        <w:rPr>
          <w:rFonts w:cs="Times New Roman"/>
          <w:szCs w:val="24"/>
        </w:rPr>
        <w:t>Civil lawsuit</w:t>
      </w:r>
    </w:p>
    <w:p w:rsidR="00990F59" w:rsidRDefault="00990F59" w:rsidP="007447DA">
      <w:pPr>
        <w:spacing w:line="240" w:lineRule="auto"/>
        <w:ind w:firstLine="720"/>
        <w:jc w:val="center"/>
        <w:rPr>
          <w:rFonts w:cs="Times New Roman"/>
          <w:szCs w:val="24"/>
        </w:rPr>
      </w:pPr>
      <w:r>
        <w:rPr>
          <w:rFonts w:cs="Times New Roman"/>
          <w:szCs w:val="24"/>
        </w:rPr>
        <w:t>Name</w:t>
      </w:r>
      <w:r w:rsidR="00587649">
        <w:rPr>
          <w:rFonts w:cs="Times New Roman"/>
          <w:szCs w:val="24"/>
        </w:rPr>
        <w:t>:</w:t>
      </w:r>
    </w:p>
    <w:p w:rsidR="00393963" w:rsidRPr="00636B1F" w:rsidRDefault="00DB2265" w:rsidP="007447DA">
      <w:pPr>
        <w:spacing w:line="240" w:lineRule="auto"/>
        <w:ind w:firstLine="720"/>
        <w:jc w:val="center"/>
        <w:rPr>
          <w:rFonts w:cs="Times New Roman"/>
          <w:szCs w:val="24"/>
        </w:rPr>
      </w:pPr>
      <w:r w:rsidRPr="00636B1F">
        <w:rPr>
          <w:rFonts w:cs="Times New Roman"/>
          <w:szCs w:val="24"/>
        </w:rPr>
        <w:t>Institution</w:t>
      </w:r>
      <w:r w:rsidR="00587649">
        <w:rPr>
          <w:rFonts w:cs="Times New Roman"/>
          <w:szCs w:val="24"/>
        </w:rPr>
        <w:t>:</w:t>
      </w:r>
    </w:p>
    <w:p w:rsidR="00393963" w:rsidRPr="00636B1F" w:rsidRDefault="00DB2265" w:rsidP="007447DA">
      <w:pPr>
        <w:spacing w:line="240" w:lineRule="auto"/>
        <w:ind w:firstLine="720"/>
        <w:jc w:val="center"/>
        <w:rPr>
          <w:rFonts w:cs="Times New Roman"/>
          <w:szCs w:val="24"/>
        </w:rPr>
      </w:pPr>
      <w:r w:rsidRPr="00636B1F">
        <w:rPr>
          <w:rFonts w:cs="Times New Roman"/>
          <w:szCs w:val="24"/>
        </w:rPr>
        <w:t>Tutor</w:t>
      </w:r>
      <w:r w:rsidR="00587649">
        <w:rPr>
          <w:rFonts w:cs="Times New Roman"/>
          <w:szCs w:val="24"/>
        </w:rPr>
        <w:t>:</w:t>
      </w:r>
    </w:p>
    <w:p w:rsidR="00393963" w:rsidRPr="00636B1F" w:rsidRDefault="00DB2265" w:rsidP="007447DA">
      <w:pPr>
        <w:spacing w:line="240" w:lineRule="auto"/>
        <w:ind w:firstLine="720"/>
        <w:jc w:val="center"/>
        <w:rPr>
          <w:rFonts w:cs="Times New Roman"/>
          <w:szCs w:val="24"/>
        </w:rPr>
      </w:pPr>
      <w:r w:rsidRPr="00636B1F">
        <w:rPr>
          <w:rFonts w:cs="Times New Roman"/>
          <w:szCs w:val="24"/>
        </w:rPr>
        <w:t>Course</w:t>
      </w:r>
      <w:r w:rsidR="00587649">
        <w:rPr>
          <w:rFonts w:cs="Times New Roman"/>
          <w:szCs w:val="24"/>
        </w:rPr>
        <w:t>:</w:t>
      </w:r>
    </w:p>
    <w:p w:rsidR="00393963" w:rsidRPr="00636B1F" w:rsidRDefault="00DB2265" w:rsidP="007447DA">
      <w:pPr>
        <w:spacing w:line="240" w:lineRule="auto"/>
        <w:ind w:firstLine="720"/>
        <w:jc w:val="center"/>
        <w:rPr>
          <w:rFonts w:cs="Times New Roman"/>
          <w:szCs w:val="24"/>
        </w:rPr>
      </w:pPr>
      <w:r w:rsidRPr="00636B1F">
        <w:rPr>
          <w:rFonts w:cs="Times New Roman"/>
          <w:szCs w:val="24"/>
        </w:rPr>
        <w:t>Date</w:t>
      </w:r>
      <w:r w:rsidR="00587649">
        <w:rPr>
          <w:rFonts w:cs="Times New Roman"/>
          <w:szCs w:val="24"/>
        </w:rPr>
        <w:t>:</w:t>
      </w:r>
    </w:p>
    <w:p w:rsidR="00393963" w:rsidRPr="00636B1F" w:rsidRDefault="00393963" w:rsidP="007447DA">
      <w:pPr>
        <w:spacing w:line="240" w:lineRule="auto"/>
        <w:ind w:firstLine="720"/>
        <w:jc w:val="both"/>
        <w:rPr>
          <w:rFonts w:cs="Times New Roman"/>
          <w:szCs w:val="24"/>
        </w:rPr>
      </w:pPr>
    </w:p>
    <w:p w:rsidR="00393963" w:rsidRDefault="00393963"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Default="007447DA" w:rsidP="007447DA">
      <w:pPr>
        <w:spacing w:line="240" w:lineRule="auto"/>
        <w:ind w:firstLine="720"/>
        <w:jc w:val="right"/>
        <w:rPr>
          <w:rFonts w:cs="Times New Roman"/>
          <w:szCs w:val="24"/>
        </w:rPr>
      </w:pPr>
    </w:p>
    <w:p w:rsidR="007447DA" w:rsidRPr="008048E9" w:rsidRDefault="007447DA" w:rsidP="007447DA">
      <w:pPr>
        <w:spacing w:line="240" w:lineRule="auto"/>
        <w:jc w:val="both"/>
        <w:rPr>
          <w:rFonts w:cs="Times New Roman"/>
          <w:b/>
          <w:szCs w:val="24"/>
        </w:rPr>
      </w:pPr>
      <w:r w:rsidRPr="008048E9">
        <w:rPr>
          <w:rFonts w:cs="Times New Roman"/>
          <w:b/>
          <w:szCs w:val="24"/>
        </w:rPr>
        <w:lastRenderedPageBreak/>
        <w:t>Explanation of the case brief</w:t>
      </w:r>
    </w:p>
    <w:p w:rsidR="007447DA" w:rsidRPr="001A6A5E" w:rsidRDefault="007447DA" w:rsidP="007447DA">
      <w:pPr>
        <w:spacing w:line="240" w:lineRule="auto"/>
        <w:jc w:val="both"/>
        <w:rPr>
          <w:rFonts w:cs="Times New Roman"/>
          <w:szCs w:val="24"/>
        </w:rPr>
      </w:pPr>
      <w:r>
        <w:rPr>
          <w:rFonts w:cs="Times New Roman"/>
          <w:szCs w:val="24"/>
        </w:rPr>
        <w:tab/>
        <w:t xml:space="preserve">The parties in the lawsuit are </w:t>
      </w:r>
      <w:r w:rsidRPr="007447DA">
        <w:rPr>
          <w:rFonts w:cs="Times New Roman"/>
          <w:szCs w:val="24"/>
        </w:rPr>
        <w:t>Paul J. Manafort, Jr. against the Department of Justice, Rod J. Rosenstein, and Robert S. Mueller, III</w:t>
      </w:r>
      <w:r>
        <w:rPr>
          <w:rFonts w:cs="Times New Roman"/>
          <w:szCs w:val="24"/>
        </w:rPr>
        <w:t xml:space="preserve">. What </w:t>
      </w:r>
      <w:r w:rsidR="008048E9">
        <w:rPr>
          <w:rFonts w:cs="Times New Roman"/>
          <w:szCs w:val="24"/>
        </w:rPr>
        <w:t xml:space="preserve">caused this lawsuit to be </w:t>
      </w:r>
      <w:r>
        <w:rPr>
          <w:rFonts w:cs="Times New Roman"/>
          <w:szCs w:val="24"/>
        </w:rPr>
        <w:t>fil</w:t>
      </w:r>
      <w:r w:rsidR="008048E9">
        <w:rPr>
          <w:rFonts w:cs="Times New Roman"/>
          <w:szCs w:val="24"/>
        </w:rPr>
        <w:t>l</w:t>
      </w:r>
      <w:r>
        <w:rPr>
          <w:rFonts w:cs="Times New Roman"/>
          <w:szCs w:val="24"/>
        </w:rPr>
        <w:t xml:space="preserve">ed is because Paul J. Manafort alleged that the department </w:t>
      </w:r>
      <w:r w:rsidR="008048E9">
        <w:rPr>
          <w:rFonts w:cs="Times New Roman"/>
          <w:szCs w:val="24"/>
        </w:rPr>
        <w:t>exceeded in its mandate when it issued order of appointing the special as well as the Special Counsel exceeding in its authority as well. The plaintiff wanted the court to him in its future actions under the appointment order. However, the court was of the point that it cannot involve the defendants in its ancillary equitable proceedings</w:t>
      </w:r>
      <w:r w:rsidR="00F73E59">
        <w:rPr>
          <w:rFonts w:cs="Times New Roman"/>
          <w:szCs w:val="24"/>
        </w:rPr>
        <w:t xml:space="preserve"> </w:t>
      </w:r>
      <w:r w:rsidR="008048E9" w:rsidRPr="00F73E59">
        <w:rPr>
          <w:rFonts w:cs="Times New Roman"/>
          <w:i/>
          <w:szCs w:val="24"/>
        </w:rPr>
        <w:t xml:space="preserve">Paul J. Manfort vs DOJ &amp; others, </w:t>
      </w:r>
      <w:r w:rsidR="00F73E59" w:rsidRPr="00F73E59">
        <w:rPr>
          <w:rFonts w:cs="Times New Roman"/>
          <w:i/>
          <w:szCs w:val="24"/>
        </w:rPr>
        <w:t>(</w:t>
      </w:r>
      <w:r w:rsidR="008048E9" w:rsidRPr="00F73E59">
        <w:rPr>
          <w:rFonts w:cs="Times New Roman"/>
          <w:i/>
          <w:szCs w:val="24"/>
        </w:rPr>
        <w:t xml:space="preserve">2018). </w:t>
      </w:r>
      <w:r w:rsidR="001A6A5E">
        <w:rPr>
          <w:rFonts w:cs="Times New Roman"/>
          <w:szCs w:val="24"/>
        </w:rPr>
        <w:t xml:space="preserve">Manafort investigation are founded on a scheme whereby he funded millions of dollars into foreign bank accounts and falsely reporting the tax </w:t>
      </w:r>
      <w:r w:rsidR="003D7B0E">
        <w:rPr>
          <w:rFonts w:cs="Times New Roman"/>
          <w:szCs w:val="24"/>
        </w:rPr>
        <w:t>preparers</w:t>
      </w:r>
      <w:r w:rsidR="001A6A5E">
        <w:rPr>
          <w:rFonts w:cs="Times New Roman"/>
          <w:szCs w:val="24"/>
        </w:rPr>
        <w:t xml:space="preserve"> and the United States that they had no foreign bank accounts together with Gates. </w:t>
      </w:r>
    </w:p>
    <w:p w:rsidR="007447DA" w:rsidRDefault="007447DA" w:rsidP="007447DA">
      <w:pPr>
        <w:spacing w:line="240" w:lineRule="auto"/>
        <w:jc w:val="both"/>
        <w:rPr>
          <w:rFonts w:cs="Times New Roman"/>
          <w:szCs w:val="24"/>
        </w:rPr>
      </w:pPr>
      <w:r>
        <w:rPr>
          <w:rFonts w:cs="Times New Roman"/>
          <w:szCs w:val="24"/>
        </w:rPr>
        <w:t xml:space="preserve">Issues </w:t>
      </w:r>
    </w:p>
    <w:p w:rsidR="007447DA" w:rsidRDefault="00A360A6" w:rsidP="00A360A6">
      <w:pPr>
        <w:pStyle w:val="ListParagraph"/>
        <w:numPr>
          <w:ilvl w:val="0"/>
          <w:numId w:val="3"/>
        </w:numPr>
        <w:spacing w:line="240" w:lineRule="auto"/>
        <w:jc w:val="both"/>
        <w:rPr>
          <w:rFonts w:cs="Times New Roman"/>
          <w:szCs w:val="24"/>
        </w:rPr>
      </w:pPr>
      <w:r>
        <w:rPr>
          <w:rFonts w:cs="Times New Roman"/>
          <w:szCs w:val="24"/>
        </w:rPr>
        <w:t>Enjoinment of Paul J. Manafort in the appointment of Special council in the DOJ</w:t>
      </w:r>
    </w:p>
    <w:p w:rsidR="00A360A6" w:rsidRDefault="00A360A6" w:rsidP="00A360A6">
      <w:pPr>
        <w:pStyle w:val="ListParagraph"/>
        <w:numPr>
          <w:ilvl w:val="0"/>
          <w:numId w:val="3"/>
        </w:numPr>
        <w:spacing w:line="240" w:lineRule="auto"/>
        <w:jc w:val="both"/>
        <w:rPr>
          <w:rFonts w:cs="Times New Roman"/>
          <w:szCs w:val="24"/>
        </w:rPr>
      </w:pPr>
      <w:r>
        <w:rPr>
          <w:rFonts w:cs="Times New Roman"/>
          <w:szCs w:val="24"/>
        </w:rPr>
        <w:t>A</w:t>
      </w:r>
      <w:r w:rsidRPr="00A360A6">
        <w:rPr>
          <w:rFonts w:cs="Times New Roman"/>
          <w:szCs w:val="24"/>
        </w:rPr>
        <w:t>lleged that the department exceeded in its mandate when it issued order of appointing the special as well as the Special Counsel exceeding</w:t>
      </w:r>
      <w:r w:rsidR="00CD3DEB">
        <w:rPr>
          <w:rFonts w:cs="Times New Roman"/>
          <w:szCs w:val="24"/>
        </w:rPr>
        <w:t xml:space="preserve"> </w:t>
      </w:r>
      <w:r w:rsidR="003D7B0E">
        <w:rPr>
          <w:rFonts w:cs="Times New Roman"/>
          <w:szCs w:val="24"/>
        </w:rPr>
        <w:t>i.e.</w:t>
      </w:r>
      <w:r w:rsidR="00CD3DEB">
        <w:rPr>
          <w:rFonts w:cs="Times New Roman"/>
          <w:szCs w:val="24"/>
        </w:rPr>
        <w:t xml:space="preserve"> Manafort seeks to challenge the Special Counsel’s compliance with the authority that it has been granted to him in the investigation of his criminal actions. </w:t>
      </w:r>
    </w:p>
    <w:p w:rsidR="00CD3DEB" w:rsidRDefault="00CD3DEB" w:rsidP="00A360A6">
      <w:pPr>
        <w:pStyle w:val="ListParagraph"/>
        <w:numPr>
          <w:ilvl w:val="0"/>
          <w:numId w:val="3"/>
        </w:numPr>
        <w:spacing w:line="240" w:lineRule="auto"/>
        <w:jc w:val="both"/>
        <w:rPr>
          <w:rFonts w:cs="Times New Roman"/>
          <w:szCs w:val="24"/>
        </w:rPr>
      </w:pPr>
      <w:r>
        <w:rPr>
          <w:rFonts w:cs="Times New Roman"/>
          <w:szCs w:val="24"/>
        </w:rPr>
        <w:t>That Manafort wants to interfere with the ongoing criminal investigations against him and wants to interfere with the process</w:t>
      </w:r>
    </w:p>
    <w:p w:rsidR="007447DA" w:rsidRPr="00A360A6" w:rsidRDefault="007447DA" w:rsidP="007447DA">
      <w:pPr>
        <w:spacing w:line="240" w:lineRule="auto"/>
        <w:jc w:val="both"/>
        <w:rPr>
          <w:rFonts w:cs="Times New Roman"/>
          <w:b/>
          <w:szCs w:val="24"/>
        </w:rPr>
      </w:pPr>
      <w:r w:rsidRPr="00A360A6">
        <w:rPr>
          <w:rFonts w:cs="Times New Roman"/>
          <w:b/>
          <w:szCs w:val="24"/>
        </w:rPr>
        <w:t>Application of the rule of law</w:t>
      </w:r>
    </w:p>
    <w:p w:rsidR="00393963" w:rsidRDefault="007447DA" w:rsidP="007447DA">
      <w:pPr>
        <w:spacing w:line="240" w:lineRule="auto"/>
        <w:jc w:val="both"/>
        <w:rPr>
          <w:rFonts w:cs="Times New Roman"/>
          <w:szCs w:val="24"/>
        </w:rPr>
      </w:pPr>
      <w:r>
        <w:rPr>
          <w:rFonts w:cs="Times New Roman"/>
          <w:szCs w:val="24"/>
        </w:rPr>
        <w:t>Reasoning 1</w:t>
      </w:r>
    </w:p>
    <w:p w:rsidR="00A360A6" w:rsidRDefault="00A360A6" w:rsidP="00A360A6">
      <w:pPr>
        <w:spacing w:line="240" w:lineRule="auto"/>
        <w:ind w:firstLine="720"/>
        <w:jc w:val="both"/>
        <w:rPr>
          <w:rFonts w:cs="Times New Roman"/>
          <w:szCs w:val="24"/>
        </w:rPr>
      </w:pPr>
      <w:r>
        <w:rPr>
          <w:rFonts w:cs="Times New Roman"/>
          <w:szCs w:val="24"/>
        </w:rPr>
        <w:t xml:space="preserve">In the enjoinment of Paul J. Manafort, this claim lacks merit. The appointment of the special council lies squarely within the acting Attorney General’s authority as well as the Department of Special Counsel regulations. </w:t>
      </w:r>
    </w:p>
    <w:p w:rsidR="007447DA" w:rsidRDefault="007447DA" w:rsidP="007447DA">
      <w:pPr>
        <w:spacing w:line="240" w:lineRule="auto"/>
        <w:jc w:val="both"/>
        <w:rPr>
          <w:rFonts w:cs="Times New Roman"/>
          <w:szCs w:val="24"/>
        </w:rPr>
      </w:pPr>
      <w:r>
        <w:rPr>
          <w:rFonts w:cs="Times New Roman"/>
          <w:szCs w:val="24"/>
        </w:rPr>
        <w:t>Reasoning 2</w:t>
      </w:r>
    </w:p>
    <w:p w:rsidR="007447DA" w:rsidRDefault="00A360A6" w:rsidP="007447DA">
      <w:pPr>
        <w:spacing w:line="240" w:lineRule="auto"/>
        <w:jc w:val="both"/>
        <w:rPr>
          <w:rFonts w:cs="Times New Roman"/>
          <w:szCs w:val="24"/>
        </w:rPr>
      </w:pPr>
      <w:r>
        <w:rPr>
          <w:rFonts w:cs="Times New Roman"/>
          <w:szCs w:val="24"/>
        </w:rPr>
        <w:tab/>
        <w:t xml:space="preserve">Allegation that </w:t>
      </w:r>
      <w:r w:rsidRPr="00A360A6">
        <w:rPr>
          <w:rFonts w:cs="Times New Roman"/>
          <w:szCs w:val="24"/>
        </w:rPr>
        <w:t>alleged that the department exceeded in its mandate when it issued order of appointing the special as well as the Special Counsel exceeding</w:t>
      </w:r>
      <w:r>
        <w:rPr>
          <w:rFonts w:cs="Times New Roman"/>
          <w:szCs w:val="24"/>
        </w:rPr>
        <w:t xml:space="preserve"> its mandate is not reasonable. The Special Council is properly operating within the scope of authority</w:t>
      </w:r>
      <w:r w:rsidR="00CD3DEB">
        <w:rPr>
          <w:rFonts w:cs="Times New Roman"/>
          <w:szCs w:val="24"/>
        </w:rPr>
        <w:t xml:space="preserve"> with respect to the ongoing Manafort’s criminal prosecution.</w:t>
      </w:r>
    </w:p>
    <w:p w:rsidR="007447DA" w:rsidRDefault="007447DA" w:rsidP="007447DA">
      <w:pPr>
        <w:spacing w:line="240" w:lineRule="auto"/>
        <w:jc w:val="both"/>
        <w:rPr>
          <w:rFonts w:cs="Times New Roman"/>
          <w:szCs w:val="24"/>
        </w:rPr>
      </w:pPr>
      <w:r>
        <w:rPr>
          <w:rFonts w:cs="Times New Roman"/>
          <w:szCs w:val="24"/>
        </w:rPr>
        <w:t>Reasoning 3</w:t>
      </w:r>
    </w:p>
    <w:p w:rsidR="007447DA" w:rsidRDefault="00CD3DEB" w:rsidP="007447DA">
      <w:pPr>
        <w:spacing w:line="240" w:lineRule="auto"/>
        <w:jc w:val="both"/>
        <w:rPr>
          <w:rFonts w:cs="Times New Roman"/>
          <w:szCs w:val="24"/>
        </w:rPr>
      </w:pPr>
      <w:r>
        <w:rPr>
          <w:rFonts w:cs="Times New Roman"/>
          <w:szCs w:val="24"/>
        </w:rPr>
        <w:tab/>
        <w:t xml:space="preserve">It is right to say that </w:t>
      </w:r>
      <w:r w:rsidRPr="00CD3DEB">
        <w:rPr>
          <w:rFonts w:cs="Times New Roman"/>
          <w:szCs w:val="24"/>
        </w:rPr>
        <w:t>Manafort wants to interfere with the ongoing criminal investigations against him and wants to interfere with the process</w:t>
      </w:r>
      <w:r>
        <w:rPr>
          <w:rFonts w:cs="Times New Roman"/>
          <w:szCs w:val="24"/>
        </w:rPr>
        <w:t>. This is the main aim of his lawsuit and wants to circumvent the Federal Criminal procedure. Manafort’</w:t>
      </w:r>
      <w:r w:rsidR="001A6A5E">
        <w:rPr>
          <w:rFonts w:cs="Times New Roman"/>
          <w:szCs w:val="24"/>
        </w:rPr>
        <w:t>s</w:t>
      </w:r>
      <w:r>
        <w:rPr>
          <w:rFonts w:cs="Times New Roman"/>
          <w:szCs w:val="24"/>
        </w:rPr>
        <w:t xml:space="preserve"> ability to change the motion and dismiss his criminal action is effortless.</w:t>
      </w:r>
    </w:p>
    <w:p w:rsidR="007447DA" w:rsidRPr="00A360A6" w:rsidRDefault="007447DA" w:rsidP="007447DA">
      <w:pPr>
        <w:spacing w:line="240" w:lineRule="auto"/>
        <w:jc w:val="both"/>
        <w:rPr>
          <w:rFonts w:cs="Times New Roman"/>
          <w:b/>
          <w:szCs w:val="24"/>
        </w:rPr>
      </w:pPr>
      <w:r w:rsidRPr="00A360A6">
        <w:rPr>
          <w:rFonts w:cs="Times New Roman"/>
          <w:b/>
          <w:szCs w:val="24"/>
        </w:rPr>
        <w:t xml:space="preserve">Conclusion </w:t>
      </w:r>
    </w:p>
    <w:p w:rsidR="00882F5E" w:rsidRPr="00FA02E2" w:rsidRDefault="00F73E59" w:rsidP="001A6A5E">
      <w:pPr>
        <w:spacing w:line="240" w:lineRule="auto"/>
        <w:ind w:firstLine="720"/>
        <w:jc w:val="both"/>
        <w:rPr>
          <w:rFonts w:cs="Times New Roman"/>
          <w:szCs w:val="24"/>
        </w:rPr>
      </w:pPr>
      <w:r>
        <w:rPr>
          <w:rFonts w:cs="Times New Roman"/>
          <w:szCs w:val="24"/>
        </w:rPr>
        <w:t xml:space="preserve">In conclusion, the Attorney General retain a broad discretion to enforce the Nation’s Criminal Laws without any interference </w:t>
      </w:r>
      <w:r w:rsidRPr="00F73E59">
        <w:rPr>
          <w:rFonts w:cs="Times New Roman"/>
          <w:i/>
          <w:szCs w:val="24"/>
        </w:rPr>
        <w:t>United States v. Armstrong, 517 U.S. 456, 464 (1996).</w:t>
      </w:r>
      <w:r w:rsidR="001A6A5E">
        <w:rPr>
          <w:rFonts w:cs="Times New Roman"/>
          <w:szCs w:val="24"/>
        </w:rPr>
        <w:t xml:space="preserve"> The conduct of litigation is reserved for the DOJ, the Attorneys and cannot be questioned by the plaintiff. Therefore, Manafort’s efforts to interfere with the Special Counsel’s mandate in exercises its mandate and authority. </w:t>
      </w:r>
      <w:bookmarkStart w:id="0" w:name="_GoBack"/>
      <w:bookmarkEnd w:id="0"/>
    </w:p>
    <w:sectPr w:rsidR="00882F5E" w:rsidRPr="00FA02E2" w:rsidSect="0039396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644" w:rsidRDefault="00FD2644">
      <w:pPr>
        <w:spacing w:after="0" w:line="240" w:lineRule="auto"/>
      </w:pPr>
      <w:r>
        <w:separator/>
      </w:r>
    </w:p>
  </w:endnote>
  <w:endnote w:type="continuationSeparator" w:id="0">
    <w:p w:rsidR="00FD2644" w:rsidRDefault="00FD2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644" w:rsidRDefault="00FD2644">
      <w:pPr>
        <w:spacing w:after="0" w:line="240" w:lineRule="auto"/>
      </w:pPr>
      <w:r>
        <w:separator/>
      </w:r>
    </w:p>
  </w:footnote>
  <w:footnote w:type="continuationSeparator" w:id="0">
    <w:p w:rsidR="00FD2644" w:rsidRDefault="00FD26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296755" w:rsidP="00990F59">
    <w:r>
      <w:rPr>
        <w:rFonts w:eastAsia="Times New Roman" w:cs="Times New Roman"/>
        <w:szCs w:val="24"/>
        <w:lang w:val="en-US"/>
      </w:rPr>
      <w:t>CIVIL LAWSUIT</w:t>
    </w:r>
    <w:r w:rsidR="00882F5E">
      <w:rPr>
        <w:rFonts w:eastAsia="Times New Roman" w:cs="Times New Roman"/>
        <w:szCs w:val="24"/>
        <w:lang w:val="en-US"/>
      </w:rPr>
      <w:tab/>
    </w:r>
    <w:r w:rsidR="00882F5E">
      <w:rPr>
        <w:rFonts w:eastAsia="Times New Roman" w:cs="Times New Roman"/>
        <w:szCs w:val="24"/>
        <w:lang w:val="en-US"/>
      </w:rPr>
      <w:tab/>
    </w:r>
    <w:r w:rsidR="00882F5E">
      <w:rPr>
        <w:rFonts w:eastAsia="Times New Roman" w:cs="Times New Roman"/>
        <w:szCs w:val="24"/>
        <w:lang w:val="en-US"/>
      </w:rPr>
      <w:tab/>
    </w:r>
    <w:r w:rsidR="004F64CC">
      <w:rPr>
        <w:rFonts w:eastAsia="Times New Roman" w:cs="Times New Roman"/>
        <w:szCs w:val="24"/>
        <w:lang w:val="en-US"/>
      </w:rPr>
      <w:t xml:space="preserve">   </w:t>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tab/>
    </w:r>
    <w:r w:rsidR="004F64CC">
      <w:tab/>
    </w:r>
    <w:sdt>
      <w:sdtPr>
        <w:id w:val="571465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3D7B0E">
          <w:rPr>
            <w:noProof/>
          </w:rPr>
          <w:t>2</w:t>
        </w:r>
        <w:r w:rsidR="00393963">
          <w:rPr>
            <w:noProof/>
          </w:rPr>
          <w:fldChar w:fldCharType="end"/>
        </w:r>
      </w:sdtContent>
    </w:sdt>
  </w:p>
  <w:p w:rsidR="00393963" w:rsidRDefault="00393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4F64CC" w:rsidP="00990F59">
    <w:r>
      <w:t>RUNNING HEAD:</w:t>
    </w:r>
    <w:r>
      <w:rPr>
        <w:rFonts w:cs="Times New Roman"/>
        <w:szCs w:val="24"/>
      </w:rPr>
      <w:t xml:space="preserve"> </w:t>
    </w:r>
    <w:r w:rsidR="00296755">
      <w:rPr>
        <w:rFonts w:eastAsia="Times New Roman" w:cs="Times New Roman"/>
        <w:szCs w:val="24"/>
        <w:lang w:val="en-US"/>
      </w:rPr>
      <w:t>CIVIL LAWSUIT</w:t>
    </w:r>
    <w:r w:rsidR="00882F5E">
      <w:rPr>
        <w:rFonts w:eastAsia="Times New Roman" w:cs="Times New Roman"/>
        <w:szCs w:val="24"/>
        <w:lang w:val="en-US"/>
      </w:rPr>
      <w:tab/>
    </w:r>
    <w:r w:rsidR="00882F5E">
      <w:rPr>
        <w:rFonts w:eastAsia="Times New Roman" w:cs="Times New Roman"/>
        <w:szCs w:val="24"/>
        <w:lang w:val="en-US"/>
      </w:rPr>
      <w:tab/>
    </w:r>
    <w:r w:rsidR="00882F5E">
      <w:rPr>
        <w:rFonts w:eastAsia="Times New Roman" w:cs="Times New Roman"/>
        <w:szCs w:val="24"/>
        <w:lang w:val="en-US"/>
      </w:rPr>
      <w:tab/>
    </w:r>
    <w:r>
      <w:rPr>
        <w:rFonts w:eastAsia="Times New Roman" w:cs="Times New Roman"/>
        <w:szCs w:val="24"/>
        <w:lang w:val="en-US"/>
      </w:rPr>
      <w:t xml:space="preserve">        </w:t>
    </w:r>
    <w:r>
      <w:rPr>
        <w:rFonts w:cs="Times New Roman"/>
        <w:szCs w:val="24"/>
      </w:rPr>
      <w:tab/>
    </w:r>
    <w:r>
      <w:rPr>
        <w:rFonts w:eastAsia="Times New Roman" w:cs="Times New Roman"/>
        <w:color w:val="444444"/>
        <w:szCs w:val="24"/>
      </w:rPr>
      <w:t xml:space="preserve">                   </w:t>
    </w:r>
    <w:r>
      <w:rPr>
        <w:rFonts w:eastAsia="Times New Roman" w:cs="Times New Roman"/>
        <w:color w:val="444444"/>
        <w:szCs w:val="24"/>
      </w:rPr>
      <w:tab/>
    </w:r>
    <w:r>
      <w:rPr>
        <w:rFonts w:eastAsia="Times New Roman" w:cs="Times New Roman"/>
        <w:color w:val="444444"/>
        <w:szCs w:val="24"/>
      </w:rPr>
      <w:tab/>
    </w:r>
    <w:sdt>
      <w:sdtPr>
        <w:id w:val="571461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CD3DEB">
          <w:rPr>
            <w:noProof/>
          </w:rPr>
          <w:t>1</w:t>
        </w:r>
        <w:r w:rsidR="00393963">
          <w:rPr>
            <w:noProof/>
          </w:rPr>
          <w:fldChar w:fldCharType="end"/>
        </w:r>
      </w:sdtContent>
    </w:sdt>
  </w:p>
  <w:p w:rsidR="00393963" w:rsidRDefault="00393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E5D60"/>
    <w:multiLevelType w:val="hybridMultilevel"/>
    <w:tmpl w:val="05CEE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CC93550"/>
    <w:multiLevelType w:val="multilevel"/>
    <w:tmpl w:val="0F10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D9041FD"/>
    <w:multiLevelType w:val="hybridMultilevel"/>
    <w:tmpl w:val="64323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90"/>
    <w:rsid w:val="000A3BCB"/>
    <w:rsid w:val="000D5999"/>
    <w:rsid w:val="001A6A5E"/>
    <w:rsid w:val="001E25B4"/>
    <w:rsid w:val="00234FF8"/>
    <w:rsid w:val="00296755"/>
    <w:rsid w:val="003668F9"/>
    <w:rsid w:val="00393963"/>
    <w:rsid w:val="00396562"/>
    <w:rsid w:val="003B4EB9"/>
    <w:rsid w:val="003D7B0E"/>
    <w:rsid w:val="003E63AD"/>
    <w:rsid w:val="00451484"/>
    <w:rsid w:val="004B5426"/>
    <w:rsid w:val="004D7C83"/>
    <w:rsid w:val="004F64CC"/>
    <w:rsid w:val="00587649"/>
    <w:rsid w:val="005A5D7B"/>
    <w:rsid w:val="005C4984"/>
    <w:rsid w:val="00661E81"/>
    <w:rsid w:val="006A5A08"/>
    <w:rsid w:val="006C1454"/>
    <w:rsid w:val="006E03AB"/>
    <w:rsid w:val="006F78A9"/>
    <w:rsid w:val="00704B9D"/>
    <w:rsid w:val="00714813"/>
    <w:rsid w:val="007447DA"/>
    <w:rsid w:val="00745999"/>
    <w:rsid w:val="00777AF9"/>
    <w:rsid w:val="008048E9"/>
    <w:rsid w:val="00807E90"/>
    <w:rsid w:val="00844AB6"/>
    <w:rsid w:val="00882F5E"/>
    <w:rsid w:val="00891162"/>
    <w:rsid w:val="008A0A36"/>
    <w:rsid w:val="0090767C"/>
    <w:rsid w:val="009105FF"/>
    <w:rsid w:val="00934082"/>
    <w:rsid w:val="00960A44"/>
    <w:rsid w:val="00990F59"/>
    <w:rsid w:val="00A360A6"/>
    <w:rsid w:val="00A60F10"/>
    <w:rsid w:val="00A82B24"/>
    <w:rsid w:val="00A927BE"/>
    <w:rsid w:val="00AC0237"/>
    <w:rsid w:val="00AE6731"/>
    <w:rsid w:val="00B056E9"/>
    <w:rsid w:val="00B73436"/>
    <w:rsid w:val="00BB2534"/>
    <w:rsid w:val="00BF489B"/>
    <w:rsid w:val="00CB038B"/>
    <w:rsid w:val="00CC29FD"/>
    <w:rsid w:val="00CD3DEB"/>
    <w:rsid w:val="00D10D6A"/>
    <w:rsid w:val="00D26432"/>
    <w:rsid w:val="00D57486"/>
    <w:rsid w:val="00DB2265"/>
    <w:rsid w:val="00DD7201"/>
    <w:rsid w:val="00E24434"/>
    <w:rsid w:val="00ED4115"/>
    <w:rsid w:val="00F0023E"/>
    <w:rsid w:val="00F1593E"/>
    <w:rsid w:val="00F24F21"/>
    <w:rsid w:val="00F35F9E"/>
    <w:rsid w:val="00F547D3"/>
    <w:rsid w:val="00F73E59"/>
    <w:rsid w:val="00FA02E2"/>
    <w:rsid w:val="00FD2644"/>
    <w:rsid w:val="00FE779C"/>
    <w:rsid w:val="00FF2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9CD82-C926-4FFD-9A65-04911C5D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E5"/>
  </w:style>
  <w:style w:type="paragraph" w:styleId="Footer">
    <w:name w:val="footer"/>
    <w:basedOn w:val="Normal"/>
    <w:link w:val="FooterChar"/>
    <w:uiPriority w:val="99"/>
    <w:unhideWhenUsed/>
    <w:rsid w:val="00E05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E5"/>
  </w:style>
  <w:style w:type="paragraph" w:styleId="NormalWeb">
    <w:name w:val="Normal (Web)"/>
    <w:basedOn w:val="Normal"/>
    <w:uiPriority w:val="99"/>
    <w:unhideWhenUsed/>
    <w:rsid w:val="000B4D7E"/>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1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137"/>
    <w:rPr>
      <w:rFonts w:ascii="Tahoma" w:hAnsi="Tahoma" w:cs="Tahoma"/>
      <w:sz w:val="16"/>
      <w:szCs w:val="16"/>
    </w:rPr>
  </w:style>
  <w:style w:type="paragraph" w:styleId="ListParagraph">
    <w:name w:val="List Paragraph"/>
    <w:basedOn w:val="Normal"/>
    <w:uiPriority w:val="34"/>
    <w:qFormat/>
    <w:rsid w:val="00A360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1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5</cp:revision>
  <dcterms:created xsi:type="dcterms:W3CDTF">2018-05-23T14:20:00Z</dcterms:created>
  <dcterms:modified xsi:type="dcterms:W3CDTF">2018-05-23T15:12:00Z</dcterms:modified>
</cp:coreProperties>
</file>